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3CC" w:rsidRDefault="007F43CC">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b/>
          <w:sz w:val="24"/>
          <w:szCs w:val="24"/>
        </w:rPr>
      </w:pPr>
      <w:r>
        <w:rPr>
          <w:rFonts w:ascii="Times New Roman" w:hAnsi="Times New Roman" w:cs="Times New Roman"/>
          <w:b/>
          <w:sz w:val="24"/>
          <w:szCs w:val="24"/>
        </w:rPr>
        <w:t>The Effect of COVID-19 on Trade Finance</w:t>
      </w:r>
    </w:p>
    <w:p w:rsidR="00A867C4" w:rsidRDefault="00A867C4" w:rsidP="00A867C4">
      <w:pPr>
        <w:contextualSpacing/>
        <w:jc w:val="center"/>
        <w:rPr>
          <w:rFonts w:ascii="Times New Roman" w:hAnsi="Times New Roman" w:cs="Times New Roman"/>
          <w:b/>
          <w:sz w:val="24"/>
          <w:szCs w:val="24"/>
        </w:rPr>
      </w:pPr>
    </w:p>
    <w:p w:rsidR="00A867C4" w:rsidRDefault="00A867C4" w:rsidP="00A867C4">
      <w:pPr>
        <w:contextualSpacing/>
        <w:jc w:val="center"/>
        <w:rPr>
          <w:rFonts w:ascii="Times New Roman" w:hAnsi="Times New Roman" w:cs="Times New Roman"/>
          <w:b/>
          <w:sz w:val="24"/>
          <w:szCs w:val="24"/>
        </w:rPr>
      </w:pPr>
    </w:p>
    <w:p w:rsidR="00A867C4" w:rsidRDefault="00A867C4" w:rsidP="00A867C4">
      <w:pPr>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A867C4" w:rsidRDefault="00A867C4" w:rsidP="00A867C4">
      <w:pPr>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867C4" w:rsidRDefault="00A867C4" w:rsidP="00A867C4">
      <w:pPr>
        <w:contextualSpacing/>
        <w:jc w:val="center"/>
        <w:rPr>
          <w:rFonts w:ascii="Times New Roman" w:hAnsi="Times New Roman" w:cs="Times New Roman"/>
          <w:sz w:val="24"/>
          <w:szCs w:val="24"/>
        </w:rPr>
      </w:pPr>
      <w:r>
        <w:rPr>
          <w:rFonts w:ascii="Times New Roman" w:hAnsi="Times New Roman" w:cs="Times New Roman"/>
          <w:sz w:val="24"/>
          <w:szCs w:val="24"/>
        </w:rPr>
        <w:t>Course Name</w:t>
      </w:r>
    </w:p>
    <w:p w:rsidR="00A867C4" w:rsidRDefault="00A867C4" w:rsidP="00A867C4">
      <w:pPr>
        <w:contextualSpacing/>
        <w:jc w:val="center"/>
        <w:rPr>
          <w:rFonts w:ascii="Times New Roman" w:hAnsi="Times New Roman" w:cs="Times New Roman"/>
          <w:sz w:val="24"/>
          <w:szCs w:val="24"/>
        </w:rPr>
      </w:pPr>
      <w:r>
        <w:rPr>
          <w:rFonts w:ascii="Times New Roman" w:hAnsi="Times New Roman" w:cs="Times New Roman"/>
          <w:sz w:val="24"/>
          <w:szCs w:val="24"/>
        </w:rPr>
        <w:t>Tutor’s Name</w:t>
      </w:r>
    </w:p>
    <w:p w:rsidR="00A867C4" w:rsidRDefault="00A867C4" w:rsidP="00A867C4">
      <w:pPr>
        <w:contextualSpacing/>
        <w:jc w:val="center"/>
        <w:rPr>
          <w:rFonts w:ascii="Times New Roman" w:hAnsi="Times New Roman" w:cs="Times New Roman"/>
          <w:sz w:val="24"/>
          <w:szCs w:val="24"/>
        </w:rPr>
      </w:pPr>
      <w:r>
        <w:rPr>
          <w:rFonts w:ascii="Times New Roman" w:hAnsi="Times New Roman" w:cs="Times New Roman"/>
          <w:sz w:val="24"/>
          <w:szCs w:val="24"/>
        </w:rPr>
        <w:t>Date</w:t>
      </w: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The Effect of COVID-19 on Trade Finance</w:t>
      </w:r>
    </w:p>
    <w:p w:rsidR="00CF35C5" w:rsidRDefault="00CF35C5" w:rsidP="00CF35C5">
      <w:pPr>
        <w:contextualSpacing/>
        <w:rPr>
          <w:rFonts w:ascii="Times New Roman" w:hAnsi="Times New Roman" w:cs="Times New Roman"/>
          <w:sz w:val="24"/>
          <w:szCs w:val="24"/>
        </w:rPr>
      </w:pPr>
      <w:r>
        <w:rPr>
          <w:rFonts w:ascii="Times New Roman" w:hAnsi="Times New Roman" w:cs="Times New Roman"/>
          <w:sz w:val="24"/>
          <w:szCs w:val="24"/>
        </w:rPr>
        <w:t>Trade finance infers to fiancé lent for trade, and it may concern both international and domestic trade transactions. A trade transaction generally requires for a seller of either goods or services or both goods and services as well as the presence of a buyer. Thereof, there are various intermediaries concerned such as financial institutions and banks which may facilitate the transactions through financing of trade. Thus, the function or role of trade finance is the introduction of third parties within transactions in the bid of removing supply risk and payments. It may also provide an exporter with payments or receivables as may be denoted on an agreement while an importer might get an extended credit in the view of fulfilling a trade order. Borne out of the above, below is a review of the effect that the COVID pandemic has had on trade financing in the United States</w:t>
      </w:r>
    </w:p>
    <w:p w:rsidR="00CF35C5" w:rsidRDefault="00CF35C5" w:rsidP="00CF35C5">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Trade financing in the COVID era </w:t>
      </w:r>
    </w:p>
    <w:p w:rsidR="00630A5A" w:rsidRDefault="00A325A9" w:rsidP="00630A5A">
      <w:pPr>
        <w:contextualSpacing/>
        <w:rPr>
          <w:rFonts w:ascii="Times New Roman" w:hAnsi="Times New Roman" w:cs="Times New Roman"/>
          <w:sz w:val="24"/>
          <w:szCs w:val="24"/>
        </w:rPr>
      </w:pPr>
      <w:r>
        <w:rPr>
          <w:rFonts w:ascii="Times New Roman" w:hAnsi="Times New Roman" w:cs="Times New Roman"/>
          <w:sz w:val="24"/>
          <w:szCs w:val="24"/>
        </w:rPr>
        <w:t>The Covid-19 pandemic has had a rather devastating impact on global economies as well as associated societies. According to the OECD, last year, 2020, there was a reduction of the global GDP by about 3.4% and an associated global trade contraction by about 10.9%. In the light of the above negative outlooks in the economy, governments are falling under the pressure of mobilizing tools and equal development of tools that will alleviate and counter the economic impact of the corona virus.</w:t>
      </w:r>
    </w:p>
    <w:p w:rsidR="00A325A9" w:rsidRDefault="00A325A9" w:rsidP="00630A5A">
      <w:pPr>
        <w:contextualSpacing/>
        <w:rPr>
          <w:rFonts w:ascii="Times New Roman" w:hAnsi="Times New Roman" w:cs="Times New Roman"/>
          <w:sz w:val="24"/>
          <w:szCs w:val="24"/>
        </w:rPr>
      </w:pPr>
      <w:r>
        <w:rPr>
          <w:rFonts w:ascii="Times New Roman" w:hAnsi="Times New Roman" w:cs="Times New Roman"/>
          <w:sz w:val="24"/>
          <w:szCs w:val="24"/>
        </w:rPr>
        <w:t xml:space="preserve">At the forefront of concerns by the government is relative to maintenance of trade flows as well as trade finance, which generally is the lifeblood of international trade from day to day through provision of security and fluidity required for goods and services movement. Nevertheless, trade finance has been known to take a bid dip or is rather vulnerable during periods of an economic crisis. In the past, mobilization of support programmes for export by the government came in handy in filling gaps within financing private markets which was a success in the view of countering the dip in trade finance for private markets. </w:t>
      </w:r>
    </w:p>
    <w:p w:rsidR="00A325A9" w:rsidRPr="00630A5A" w:rsidRDefault="00A325A9" w:rsidP="00630A5A">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In the same view, there is also hope that similar programmes will also be utilized in mitigating disruptions in trade acclimatized from the corona virus pandemic. Nevertheless, compared to other crises, the COVID-19 situation is different citing that it is representative of an unforeseeable shock, and henceforth there is the belief of having recession, despite it not being a self-fulfilling prophecy phenomenon. This generally articulates that governments should not solely rely on knowledge gathered from previous crisis to counter the devastating effects of Covid-19. This is with reference to the size and type of disruptions caused to the </w:t>
      </w:r>
      <w:r w:rsidR="005C54BE">
        <w:rPr>
          <w:rFonts w:ascii="Times New Roman" w:hAnsi="Times New Roman" w:cs="Times New Roman"/>
          <w:sz w:val="24"/>
          <w:szCs w:val="24"/>
        </w:rPr>
        <w:t xml:space="preserve">world of trade and with specific reference to the world of trade financing, are more likely to be very different in comparison to the past. Thus, every effort must be put into place in the view of identification of the disruptions in the heed of foreseeing governments’ successful mobilization of different tools at their disposal such as programmes for supporting exports. </w:t>
      </w:r>
    </w:p>
    <w:p w:rsidR="00CF35C5" w:rsidRDefault="00CF35C5" w:rsidP="00CF35C5">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Short-term Trade </w:t>
      </w:r>
      <w:r w:rsidR="00630A5A">
        <w:rPr>
          <w:rFonts w:ascii="Times New Roman" w:hAnsi="Times New Roman" w:cs="Times New Roman"/>
          <w:b/>
          <w:sz w:val="24"/>
          <w:szCs w:val="24"/>
        </w:rPr>
        <w:t>financing</w:t>
      </w:r>
      <w:r>
        <w:rPr>
          <w:rFonts w:ascii="Times New Roman" w:hAnsi="Times New Roman" w:cs="Times New Roman"/>
          <w:b/>
          <w:sz w:val="24"/>
          <w:szCs w:val="24"/>
        </w:rPr>
        <w:t xml:space="preserve"> </w:t>
      </w:r>
    </w:p>
    <w:p w:rsidR="00841689" w:rsidRDefault="005C54BE" w:rsidP="005C54BE">
      <w:pPr>
        <w:contextualSpacing/>
        <w:rPr>
          <w:rFonts w:ascii="Times New Roman" w:hAnsi="Times New Roman" w:cs="Times New Roman"/>
          <w:sz w:val="24"/>
          <w:szCs w:val="24"/>
        </w:rPr>
      </w:pPr>
      <w:r>
        <w:rPr>
          <w:rFonts w:ascii="Times New Roman" w:hAnsi="Times New Roman" w:cs="Times New Roman"/>
          <w:sz w:val="24"/>
          <w:szCs w:val="24"/>
        </w:rPr>
        <w:t xml:space="preserve">Products from short term trade financing have enabled </w:t>
      </w:r>
      <w:r w:rsidR="009834EB">
        <w:rPr>
          <w:rFonts w:ascii="Times New Roman" w:hAnsi="Times New Roman" w:cs="Times New Roman"/>
          <w:sz w:val="24"/>
          <w:szCs w:val="24"/>
        </w:rPr>
        <w:t>deferment of payments for a period of less than any year and are the most common aspect of trade finance. In the same light, they are also very vulnerable during uncertain periods thus leading to an increase in prices and a reduction in their global availability. Little data has also been made publicly available for short term trade financing citing that the vast majority of them are lent by the private sector and may come in a number of forms such as inter-firm financing, intra-firm financing, or in the form of dedicated tools examples being performance bonds, credit insurance for exports or guarantees, and advance payment guarantees.</w:t>
      </w:r>
    </w:p>
    <w:p w:rsidR="009834EB" w:rsidRDefault="009834EB" w:rsidP="005C54BE">
      <w:pPr>
        <w:contextualSpacing/>
        <w:rPr>
          <w:rFonts w:ascii="Times New Roman" w:hAnsi="Times New Roman" w:cs="Times New Roman"/>
          <w:sz w:val="24"/>
          <w:szCs w:val="24"/>
        </w:rPr>
      </w:pPr>
      <w:r>
        <w:rPr>
          <w:rFonts w:ascii="Times New Roman" w:hAnsi="Times New Roman" w:cs="Times New Roman"/>
          <w:sz w:val="24"/>
          <w:szCs w:val="24"/>
        </w:rPr>
        <w:t xml:space="preserve">In </w:t>
      </w:r>
      <w:r w:rsidR="00617DE9">
        <w:rPr>
          <w:rFonts w:ascii="Times New Roman" w:hAnsi="Times New Roman" w:cs="Times New Roman"/>
          <w:sz w:val="24"/>
          <w:szCs w:val="24"/>
        </w:rPr>
        <w:t xml:space="preserve">other past crisis, more notably over the 2007 to 2009 recession, short term trade financing had declined sharply acclimatized by pressures imparted upon private institutions’ especially in relation to their liquidity. This therefore foresaw to an elevation of costs due to trade finance. Nevertheless, liquidity by commercial banks did not appear to be quite a problem during the COVID-19 crisis. Most probably, after a number of years of ensuring that </w:t>
      </w:r>
      <w:r w:rsidR="00617DE9">
        <w:rPr>
          <w:rFonts w:ascii="Times New Roman" w:hAnsi="Times New Roman" w:cs="Times New Roman"/>
          <w:sz w:val="24"/>
          <w:szCs w:val="24"/>
        </w:rPr>
        <w:lastRenderedPageBreak/>
        <w:t xml:space="preserve">regulations are tightened, capital buffers went way higher and in the same light the banking system was deemed to be far much safer. Actually, the difference posed by interest rates as asserted on ST U.S. government debt and interbank loans, TED, spread which is actually a broad indicator of liquidity for short term trade financing which has had an overall average that was low. Despite the TED spread initial rise going up to about 1.46%, a value that is higher since the great recession of 2007-2009, as at the beginning of the COVID-19 crisis, it simultaneously dropped to pre-pandemic levels and has since maintained an overall low. This then suggests that contrary to the observation of the Great Recession around 2007-2009, the liquidity in terms of the cost of short term trade has not quite increased and thus lends financing opportunities for exporters. </w:t>
      </w:r>
    </w:p>
    <w:p w:rsidR="00822CE8" w:rsidRDefault="00617DE9" w:rsidP="005C54BE">
      <w:pPr>
        <w:contextualSpacing/>
        <w:rPr>
          <w:rFonts w:ascii="Times New Roman" w:hAnsi="Times New Roman" w:cs="Times New Roman"/>
          <w:sz w:val="24"/>
          <w:szCs w:val="24"/>
        </w:rPr>
      </w:pPr>
      <w:r>
        <w:rPr>
          <w:rFonts w:ascii="Times New Roman" w:hAnsi="Times New Roman" w:cs="Times New Roman"/>
          <w:sz w:val="24"/>
          <w:szCs w:val="24"/>
        </w:rPr>
        <w:t xml:space="preserve">However, </w:t>
      </w:r>
      <w:r w:rsidR="00822CE8">
        <w:rPr>
          <w:rFonts w:ascii="Times New Roman" w:hAnsi="Times New Roman" w:cs="Times New Roman"/>
          <w:sz w:val="24"/>
          <w:szCs w:val="24"/>
        </w:rPr>
        <w:t xml:space="preserve">exporters are still facing a number of difficulties relative to their ability to access short term financing within private markets. Given the example of the Unites States, the Wall Street journal had reported about an increase in rejected applications by about 60% for exporters seeking insurance on trade credit. Additionally, the ICC, international chamber of commerce, deemed the move of retrenching banks from the financial sector as a ‘high risk’ and equally foresaw an increase in the price associated with short term financing within SMEs. Conversely, government-supported ECAs, export credit agencies, are foreseeing likelihood in the increase of demand for short term products. As denoted by a survey by the OECD, about 43% of ECAs have noted an increase in business levels on their part, mostly acclimatized with short term products. On the other hand, the US EXIM, the export-import Bank of the United States, described an increase of about 112% in relation to working capital guarantees and a consequent 12% increase as denoted from export credit insurance for short term trade as of the 2020 fiscal year. On the other hand, Euler Hermes which stands in as the ECA for Germany reported of a sharp increase in the number of application for guarantees in export credit over the first half of 2020. </w:t>
      </w:r>
    </w:p>
    <w:p w:rsidR="00617DE9" w:rsidRPr="005C54BE" w:rsidRDefault="00822CE8" w:rsidP="005C54BE">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trend above henceforth suggests despite commercial lenders having adequate liquidity of providing financial assistance to exporters, there is a consequent reduction in risk appetite owing to a limit in the amount of available trade finance especially for exporters. The information above further </w:t>
      </w:r>
      <w:proofErr w:type="gramStart"/>
      <w:r>
        <w:rPr>
          <w:rFonts w:ascii="Times New Roman" w:hAnsi="Times New Roman" w:cs="Times New Roman"/>
          <w:sz w:val="24"/>
          <w:szCs w:val="24"/>
        </w:rPr>
        <w:t>convey</w:t>
      </w:r>
      <w:proofErr w:type="gramEnd"/>
      <w:r>
        <w:rPr>
          <w:rFonts w:ascii="Times New Roman" w:hAnsi="Times New Roman" w:cs="Times New Roman"/>
          <w:sz w:val="24"/>
          <w:szCs w:val="24"/>
        </w:rPr>
        <w:t xml:space="preserve"> </w:t>
      </w:r>
      <w:r w:rsidR="00E8478B">
        <w:rPr>
          <w:rFonts w:ascii="Times New Roman" w:hAnsi="Times New Roman" w:cs="Times New Roman"/>
          <w:sz w:val="24"/>
          <w:szCs w:val="24"/>
        </w:rPr>
        <w:t xml:space="preserve">that there is a shift especially on the side of governments due to their act of working through their various ECAs. </w:t>
      </w:r>
    </w:p>
    <w:p w:rsidR="00CF35C5" w:rsidRDefault="00CF35C5" w:rsidP="00CF35C5">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Medium and Long Term Export Financing </w:t>
      </w:r>
    </w:p>
    <w:p w:rsidR="00030FB2" w:rsidRDefault="00E8478B" w:rsidP="00E8478B">
      <w:pPr>
        <w:contextualSpacing/>
        <w:rPr>
          <w:rFonts w:ascii="Times New Roman" w:hAnsi="Times New Roman" w:cs="Times New Roman"/>
          <w:sz w:val="24"/>
          <w:szCs w:val="24"/>
        </w:rPr>
      </w:pPr>
      <w:r>
        <w:rPr>
          <w:rFonts w:ascii="Times New Roman" w:hAnsi="Times New Roman" w:cs="Times New Roman"/>
          <w:sz w:val="24"/>
          <w:szCs w:val="24"/>
        </w:rPr>
        <w:t xml:space="preserve">Medium and Long term financing for exports mainly finds use in financing capital equipment either when alone or as a part of a large project such as oil and gas, manufacturing, and infrastructure which do not necessarily require longer period of repayment. </w:t>
      </w:r>
      <w:r w:rsidR="00030FB2">
        <w:rPr>
          <w:rFonts w:ascii="Times New Roman" w:hAnsi="Times New Roman" w:cs="Times New Roman"/>
          <w:sz w:val="24"/>
          <w:szCs w:val="24"/>
        </w:rPr>
        <w:t>This support mainly consists of lending buyer credits which allow for foreign buyers to equally access medium and long term financing in the bid of purchasing products and services from exporters. The public sector in this view may include multilateral organizations as well as ECAs is found to be mostly present in the case of MLT financing as compared to ST financing. This is notable during provision of export credits that are compliant with arrangement on export credits that are officially supported. However, the capacity of the private market financing MLTs has been growing as the years go by, despite the financing options for private markets being limited as brought about by regulation frameworks in the finance sector. Some of these regulations include Basel and Solvency risk assessment standards which limit the market capacity of private institutions and also because some of the associated complex transactions are far much riskier in ter</w:t>
      </w:r>
      <w:r w:rsidR="00165958">
        <w:rPr>
          <w:rFonts w:ascii="Times New Roman" w:hAnsi="Times New Roman" w:cs="Times New Roman"/>
          <w:sz w:val="24"/>
          <w:szCs w:val="24"/>
        </w:rPr>
        <w:t xml:space="preserve">ms of structure, location, and </w:t>
      </w:r>
      <w:r w:rsidR="00030FB2">
        <w:rPr>
          <w:rFonts w:ascii="Times New Roman" w:hAnsi="Times New Roman" w:cs="Times New Roman"/>
          <w:sz w:val="24"/>
          <w:szCs w:val="24"/>
        </w:rPr>
        <w:t xml:space="preserve">size of the private sector. </w:t>
      </w:r>
    </w:p>
    <w:p w:rsidR="00841689" w:rsidRPr="00E8478B" w:rsidRDefault="00E8478B" w:rsidP="00E8478B">
      <w:pPr>
        <w:contextualSpacing/>
        <w:rPr>
          <w:rFonts w:ascii="Times New Roman" w:hAnsi="Times New Roman" w:cs="Times New Roman"/>
          <w:sz w:val="24"/>
          <w:szCs w:val="24"/>
        </w:rPr>
      </w:pPr>
      <w:r>
        <w:rPr>
          <w:rFonts w:ascii="Times New Roman" w:hAnsi="Times New Roman" w:cs="Times New Roman"/>
          <w:sz w:val="24"/>
          <w:szCs w:val="24"/>
        </w:rPr>
        <w:t xml:space="preserve"> </w:t>
      </w:r>
    </w:p>
    <w:p w:rsidR="00CF35C5" w:rsidRDefault="00CF35C5" w:rsidP="00CF35C5">
      <w:pPr>
        <w:contextualSpacing/>
        <w:jc w:val="center"/>
        <w:rPr>
          <w:rFonts w:ascii="Times New Roman" w:hAnsi="Times New Roman" w:cs="Times New Roman"/>
          <w:b/>
          <w:sz w:val="24"/>
          <w:szCs w:val="24"/>
        </w:rPr>
      </w:pPr>
      <w:r>
        <w:rPr>
          <w:rFonts w:ascii="Times New Roman" w:hAnsi="Times New Roman" w:cs="Times New Roman"/>
          <w:b/>
          <w:sz w:val="24"/>
          <w:szCs w:val="24"/>
        </w:rPr>
        <w:t>Conclusion</w:t>
      </w:r>
      <w:r w:rsidR="00630A5A">
        <w:rPr>
          <w:rFonts w:ascii="Times New Roman" w:hAnsi="Times New Roman" w:cs="Times New Roman"/>
          <w:b/>
          <w:sz w:val="24"/>
          <w:szCs w:val="24"/>
        </w:rPr>
        <w:t xml:space="preserve"> </w:t>
      </w:r>
    </w:p>
    <w:p w:rsidR="00CF35C5" w:rsidRDefault="00CF35C5" w:rsidP="00CF35C5">
      <w:pPr>
        <w:contextualSpacing/>
        <w:rPr>
          <w:rFonts w:ascii="Times New Roman" w:hAnsi="Times New Roman" w:cs="Times New Roman"/>
          <w:sz w:val="24"/>
          <w:szCs w:val="24"/>
        </w:rPr>
      </w:pPr>
      <w:r>
        <w:rPr>
          <w:rFonts w:ascii="Times New Roman" w:hAnsi="Times New Roman" w:cs="Times New Roman"/>
          <w:sz w:val="24"/>
          <w:szCs w:val="24"/>
        </w:rPr>
        <w:t xml:space="preserve">On a macro-economic scale, indicators have shown that the COVID-19 pandemic has had a huge implication on the global economy, and to be more specific international trade. </w:t>
      </w:r>
      <w:r>
        <w:rPr>
          <w:rFonts w:ascii="Times New Roman" w:hAnsi="Times New Roman" w:cs="Times New Roman"/>
          <w:sz w:val="24"/>
          <w:szCs w:val="24"/>
        </w:rPr>
        <w:lastRenderedPageBreak/>
        <w:t xml:space="preserve">Nevertheless, there is limited information on the type and level of disruptions that have resulted citing that there lacks comprehensive data as related to trade finance. However, information from indicators such as surveys have allowed for </w:t>
      </w:r>
      <w:r w:rsidR="00630A5A">
        <w:rPr>
          <w:rFonts w:ascii="Times New Roman" w:hAnsi="Times New Roman" w:cs="Times New Roman"/>
          <w:sz w:val="24"/>
          <w:szCs w:val="24"/>
        </w:rPr>
        <w:t xml:space="preserve">identification of emerging trends within the area of trade finance. For example, from the above discussion, it appears that short term trade finance has taken the largest dip arising from the crisis. This has been partly acclimatized by pressures in relation to accessing opportunities as related to trade finance caused by </w:t>
      </w:r>
      <w:proofErr w:type="gramStart"/>
      <w:r w:rsidR="00630A5A">
        <w:rPr>
          <w:rFonts w:ascii="Times New Roman" w:hAnsi="Times New Roman" w:cs="Times New Roman"/>
          <w:sz w:val="24"/>
          <w:szCs w:val="24"/>
        </w:rPr>
        <w:t>a diminish</w:t>
      </w:r>
      <w:proofErr w:type="gramEnd"/>
      <w:r w:rsidR="00630A5A">
        <w:rPr>
          <w:rFonts w:ascii="Times New Roman" w:hAnsi="Times New Roman" w:cs="Times New Roman"/>
          <w:sz w:val="24"/>
          <w:szCs w:val="24"/>
        </w:rPr>
        <w:t xml:space="preserve"> in the risk appetite from private markets. However, this can be mitigated through the government acting through ECAs in the </w:t>
      </w:r>
      <w:proofErr w:type="spellStart"/>
      <w:r w:rsidR="00630A5A">
        <w:rPr>
          <w:rFonts w:ascii="Times New Roman" w:hAnsi="Times New Roman" w:cs="Times New Roman"/>
          <w:sz w:val="24"/>
          <w:szCs w:val="24"/>
        </w:rPr>
        <w:t>viw</w:t>
      </w:r>
      <w:proofErr w:type="spellEnd"/>
      <w:r w:rsidR="00630A5A">
        <w:rPr>
          <w:rFonts w:ascii="Times New Roman" w:hAnsi="Times New Roman" w:cs="Times New Roman"/>
          <w:sz w:val="24"/>
          <w:szCs w:val="24"/>
        </w:rPr>
        <w:t xml:space="preserve"> of removing the barriers through provision of liquidity to exporters. Also, there is a need to bolster efforts of increasing availability of support programmes for exporters. On the other hand, MLT financing seems to be more resilient in the current crisis. This is the reason as to why a large dip was foreseen in rather large projects in comparison to standard medium term businesses. However, the resilience of MLT projects may not last long should the Corona Virus pandemic continue citing that it may weigh even further on the cash flows. Avoiding this may foresees the need by ECAs to further flexibility in support programmes extended to MLTs through amending terms and conditions. </w:t>
      </w: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165958">
      <w:pPr>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proofErr w:type="spellStart"/>
      <w:proofErr w:type="gramStart"/>
      <w:r w:rsidRPr="00165958">
        <w:rPr>
          <w:color w:val="000000"/>
        </w:rPr>
        <w:t>Hassler</w:t>
      </w:r>
      <w:proofErr w:type="spellEnd"/>
      <w:r w:rsidRPr="00165958">
        <w:rPr>
          <w:color w:val="000000"/>
        </w:rPr>
        <w:t>, J. P. (2020).</w:t>
      </w:r>
      <w:proofErr w:type="gramEnd"/>
      <w:r w:rsidRPr="00165958">
        <w:rPr>
          <w:color w:val="000000"/>
        </w:rPr>
        <w:t xml:space="preserve"> Economic policy under the pandemic: A European perspective. </w:t>
      </w:r>
      <w:hyperlink r:id="rId7" w:history="1">
        <w:r w:rsidRPr="00165958">
          <w:rPr>
            <w:rStyle w:val="Hyperlink"/>
            <w:color w:val="000000"/>
          </w:rPr>
          <w:t>https://voxeu.org/article/economic-policy-under-pandemic-european-perspective</w:t>
        </w:r>
      </w:hyperlink>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proofErr w:type="gramStart"/>
      <w:r w:rsidRPr="00165958">
        <w:rPr>
          <w:color w:val="000000"/>
        </w:rPr>
        <w:t>ICC. (2020).</w:t>
      </w:r>
      <w:proofErr w:type="gramEnd"/>
      <w:r w:rsidRPr="00165958">
        <w:rPr>
          <w:color w:val="000000"/>
        </w:rPr>
        <w:t xml:space="preserve"> Priming Trade finance to safeguard SMEs and Power a resilient recovery from Covid-19. </w:t>
      </w:r>
      <w:hyperlink r:id="rId8" w:history="1">
        <w:r w:rsidRPr="00165958">
          <w:rPr>
            <w:rStyle w:val="Hyperlink"/>
            <w:color w:val="000000"/>
          </w:rPr>
          <w:t>https://iccwbo.org/content/uploads/sites/3/2020/11/memo-g20-</w:t>
        </w:r>
        <w:bookmarkStart w:id="0" w:name="_GoBack"/>
        <w:bookmarkEnd w:id="0"/>
        <w:r w:rsidRPr="00165958">
          <w:rPr>
            <w:rStyle w:val="Hyperlink"/>
            <w:color w:val="000000"/>
          </w:rPr>
          <w:t>recommendations-smes.pdf</w:t>
        </w:r>
      </w:hyperlink>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proofErr w:type="spellStart"/>
      <w:r w:rsidRPr="00165958">
        <w:rPr>
          <w:color w:val="000000"/>
        </w:rPr>
        <w:t>McEachern</w:t>
      </w:r>
      <w:proofErr w:type="spellEnd"/>
      <w:r w:rsidRPr="00165958">
        <w:rPr>
          <w:color w:val="000000"/>
        </w:rPr>
        <w:t>, W. A. (2012). Chapter 18: International Finance. In </w:t>
      </w:r>
      <w:r w:rsidRPr="00165958">
        <w:rPr>
          <w:rStyle w:val="Emphasis"/>
          <w:color w:val="000000"/>
        </w:rPr>
        <w:t>Macroeconomics: A Contemporary Introduction</w:t>
      </w:r>
      <w:r w:rsidRPr="00165958">
        <w:rPr>
          <w:color w:val="000000"/>
        </w:rPr>
        <w:t> (10th ed., pp. 382-396).</w:t>
      </w:r>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proofErr w:type="gramStart"/>
      <w:r w:rsidRPr="00165958">
        <w:rPr>
          <w:color w:val="000000"/>
        </w:rPr>
        <w:t>OECD.</w:t>
      </w:r>
      <w:proofErr w:type="gramEnd"/>
      <w:r w:rsidRPr="00165958">
        <w:rPr>
          <w:color w:val="000000"/>
        </w:rPr>
        <w:t xml:space="preserve"> (2021). Trade finance in the COVID era: Current and future challenges. </w:t>
      </w:r>
      <w:hyperlink r:id="rId9" w:history="1">
        <w:r w:rsidRPr="00165958">
          <w:rPr>
            <w:rStyle w:val="Hyperlink"/>
            <w:color w:val="000000"/>
          </w:rPr>
          <w:t>https://www.oecd.org/coronavirus/policy-responses/trade-finance-in-the-covid-era-current-and-future-challenges-79daca94/</w:t>
        </w:r>
      </w:hyperlink>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r w:rsidRPr="00165958">
        <w:rPr>
          <w:color w:val="000000"/>
        </w:rPr>
        <w:t>Steinberg, J. J. (2020). Insurance Freeze Snarls U.S. Supply Chains. </w:t>
      </w:r>
      <w:proofErr w:type="gramStart"/>
      <w:r w:rsidRPr="00165958">
        <w:rPr>
          <w:rStyle w:val="Emphasis"/>
          <w:color w:val="000000"/>
        </w:rPr>
        <w:t>The Wall Street Journal</w:t>
      </w:r>
      <w:r w:rsidRPr="00165958">
        <w:rPr>
          <w:color w:val="000000"/>
        </w:rPr>
        <w:t>.</w:t>
      </w:r>
      <w:proofErr w:type="gramEnd"/>
      <w:r w:rsidRPr="00165958">
        <w:rPr>
          <w:color w:val="000000"/>
        </w:rPr>
        <w:t> </w:t>
      </w:r>
      <w:hyperlink r:id="rId10" w:history="1">
        <w:r w:rsidRPr="00165958">
          <w:rPr>
            <w:rStyle w:val="Hyperlink"/>
            <w:color w:val="000000"/>
          </w:rPr>
          <w:t>https://www.wsj.com/articles/insurance-freeze-snarls-u-s-supply-chains-11600772974</w:t>
        </w:r>
      </w:hyperlink>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r w:rsidRPr="00165958">
        <w:rPr>
          <w:color w:val="000000"/>
        </w:rPr>
        <w:t>World Bank Group. (2020). Infrastructure financing in times of COVID-19: A driver of recovery1. </w:t>
      </w:r>
      <w:hyperlink r:id="rId11" w:history="1">
        <w:r w:rsidRPr="00165958">
          <w:rPr>
            <w:rStyle w:val="Hyperlink"/>
            <w:color w:val="000000"/>
          </w:rPr>
          <w:t>http://pubdocs.worldbank.org/en/424911600887428587/Infrastructure-financing-in-times-of-COVID-19-A-driver-of-recovery.pdf</w:t>
        </w:r>
      </w:hyperlink>
    </w:p>
    <w:p w:rsidR="00165958" w:rsidRPr="00165958" w:rsidRDefault="00165958" w:rsidP="00165958">
      <w:pPr>
        <w:contextualSpacing/>
        <w:rPr>
          <w:rFonts w:ascii="Times New Roman" w:hAnsi="Times New Roman" w:cs="Times New Roman"/>
          <w:sz w:val="24"/>
          <w:szCs w:val="24"/>
        </w:rPr>
      </w:pPr>
    </w:p>
    <w:p w:rsidR="00CF35C5" w:rsidRPr="00CF35C5" w:rsidRDefault="00CF35C5" w:rsidP="00CF35C5">
      <w:pPr>
        <w:contextualSpacing/>
        <w:jc w:val="center"/>
        <w:rPr>
          <w:rFonts w:ascii="Times New Roman" w:hAnsi="Times New Roman" w:cs="Times New Roman"/>
          <w:sz w:val="24"/>
          <w:szCs w:val="24"/>
        </w:rPr>
      </w:pPr>
      <w:r>
        <w:rPr>
          <w:rFonts w:ascii="Times New Roman" w:hAnsi="Times New Roman" w:cs="Times New Roman"/>
          <w:sz w:val="24"/>
          <w:szCs w:val="24"/>
        </w:rPr>
        <w:t>.</w:t>
      </w:r>
    </w:p>
    <w:p w:rsidR="00A867C4" w:rsidRDefault="00A867C4" w:rsidP="00A867C4">
      <w:pPr>
        <w:contextualSpacing/>
        <w:jc w:val="center"/>
        <w:rPr>
          <w:rFonts w:ascii="Times New Roman" w:hAnsi="Times New Roman" w:cs="Times New Roman"/>
          <w:sz w:val="24"/>
          <w:szCs w:val="24"/>
        </w:rPr>
      </w:pPr>
    </w:p>
    <w:p w:rsidR="00A867C4" w:rsidRPr="00A867C4" w:rsidRDefault="00A867C4" w:rsidP="00A867C4">
      <w:pPr>
        <w:contextualSpacing/>
        <w:jc w:val="center"/>
        <w:rPr>
          <w:rFonts w:ascii="Times New Roman" w:hAnsi="Times New Roman" w:cs="Times New Roman"/>
          <w:sz w:val="24"/>
          <w:szCs w:val="24"/>
        </w:rPr>
      </w:pPr>
    </w:p>
    <w:p w:rsidR="00A867C4" w:rsidRPr="00A867C4" w:rsidRDefault="00A867C4">
      <w:pPr>
        <w:contextualSpacing/>
        <w:rPr>
          <w:rFonts w:ascii="Times New Roman" w:hAnsi="Times New Roman" w:cs="Times New Roman"/>
          <w:sz w:val="24"/>
          <w:szCs w:val="24"/>
        </w:rPr>
      </w:pPr>
    </w:p>
    <w:sectPr w:rsidR="00A867C4" w:rsidRPr="00A867C4">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CE" w:rsidRDefault="00CC47CE" w:rsidP="00A867C4">
      <w:pPr>
        <w:spacing w:after="0" w:line="240" w:lineRule="auto"/>
      </w:pPr>
      <w:r>
        <w:separator/>
      </w:r>
    </w:p>
  </w:endnote>
  <w:endnote w:type="continuationSeparator" w:id="0">
    <w:p w:rsidR="00CC47CE" w:rsidRDefault="00CC47CE" w:rsidP="00A8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CE" w:rsidRDefault="00CC47CE" w:rsidP="00A867C4">
      <w:pPr>
        <w:spacing w:after="0" w:line="240" w:lineRule="auto"/>
      </w:pPr>
      <w:r>
        <w:separator/>
      </w:r>
    </w:p>
  </w:footnote>
  <w:footnote w:type="continuationSeparator" w:id="0">
    <w:p w:rsidR="00CC47CE" w:rsidRDefault="00CC47CE" w:rsidP="00A8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58377378"/>
      <w:docPartObj>
        <w:docPartGallery w:val="Page Numbers (Top of Page)"/>
        <w:docPartUnique/>
      </w:docPartObj>
    </w:sdtPr>
    <w:sdtEndPr>
      <w:rPr>
        <w:noProof/>
      </w:rPr>
    </w:sdtEndPr>
    <w:sdtContent>
      <w:p w:rsidR="00A867C4" w:rsidRPr="00A867C4" w:rsidRDefault="00A867C4">
        <w:pPr>
          <w:pStyle w:val="Header"/>
          <w:jc w:val="right"/>
          <w:rPr>
            <w:rFonts w:ascii="Times New Roman" w:hAnsi="Times New Roman" w:cs="Times New Roman"/>
            <w:sz w:val="24"/>
            <w:szCs w:val="24"/>
          </w:rPr>
        </w:pPr>
        <w:r w:rsidRPr="00A867C4">
          <w:rPr>
            <w:rFonts w:ascii="Times New Roman" w:hAnsi="Times New Roman" w:cs="Times New Roman"/>
            <w:sz w:val="24"/>
            <w:szCs w:val="24"/>
          </w:rPr>
          <w:fldChar w:fldCharType="begin"/>
        </w:r>
        <w:r w:rsidRPr="00A867C4">
          <w:rPr>
            <w:rFonts w:ascii="Times New Roman" w:hAnsi="Times New Roman" w:cs="Times New Roman"/>
            <w:sz w:val="24"/>
            <w:szCs w:val="24"/>
          </w:rPr>
          <w:instrText xml:space="preserve"> PAGE   \* MERGEFORMAT </w:instrText>
        </w:r>
        <w:r w:rsidRPr="00A867C4">
          <w:rPr>
            <w:rFonts w:ascii="Times New Roman" w:hAnsi="Times New Roman" w:cs="Times New Roman"/>
            <w:sz w:val="24"/>
            <w:szCs w:val="24"/>
          </w:rPr>
          <w:fldChar w:fldCharType="separate"/>
        </w:r>
        <w:r w:rsidR="00165958">
          <w:rPr>
            <w:rFonts w:ascii="Times New Roman" w:hAnsi="Times New Roman" w:cs="Times New Roman"/>
            <w:noProof/>
            <w:sz w:val="24"/>
            <w:szCs w:val="24"/>
          </w:rPr>
          <w:t>7</w:t>
        </w:r>
        <w:r w:rsidRPr="00A867C4">
          <w:rPr>
            <w:rFonts w:ascii="Times New Roman" w:hAnsi="Times New Roman" w:cs="Times New Roman"/>
            <w:noProof/>
            <w:sz w:val="24"/>
            <w:szCs w:val="24"/>
          </w:rPr>
          <w:fldChar w:fldCharType="end"/>
        </w:r>
      </w:p>
    </w:sdtContent>
  </w:sdt>
  <w:p w:rsidR="00A867C4" w:rsidRPr="00A867C4" w:rsidRDefault="00A867C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7C4"/>
    <w:rsid w:val="00030FB2"/>
    <w:rsid w:val="00165958"/>
    <w:rsid w:val="005C54BE"/>
    <w:rsid w:val="00617DE9"/>
    <w:rsid w:val="00630A5A"/>
    <w:rsid w:val="007F43CC"/>
    <w:rsid w:val="00822CE8"/>
    <w:rsid w:val="00841689"/>
    <w:rsid w:val="009834EB"/>
    <w:rsid w:val="00A325A9"/>
    <w:rsid w:val="00A867C4"/>
    <w:rsid w:val="00CC47CE"/>
    <w:rsid w:val="00CF35C5"/>
    <w:rsid w:val="00E8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7C4"/>
  </w:style>
  <w:style w:type="paragraph" w:styleId="Footer">
    <w:name w:val="footer"/>
    <w:basedOn w:val="Normal"/>
    <w:link w:val="FooterChar"/>
    <w:uiPriority w:val="99"/>
    <w:unhideWhenUsed/>
    <w:rsid w:val="00A86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7C4"/>
  </w:style>
  <w:style w:type="paragraph" w:styleId="NormalWeb">
    <w:name w:val="Normal (Web)"/>
    <w:basedOn w:val="Normal"/>
    <w:uiPriority w:val="99"/>
    <w:semiHidden/>
    <w:unhideWhenUsed/>
    <w:rsid w:val="00165958"/>
    <w:pPr>
      <w:spacing w:before="100" w:beforeAutospacing="1" w:after="100" w:afterAutospacing="1" w:line="240" w:lineRule="auto"/>
      <w:ind w:firstLine="0"/>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65958"/>
    <w:rPr>
      <w:color w:val="0000FF"/>
      <w:u w:val="single"/>
    </w:rPr>
  </w:style>
  <w:style w:type="character" w:styleId="Emphasis">
    <w:name w:val="Emphasis"/>
    <w:basedOn w:val="DefaultParagraphFont"/>
    <w:uiPriority w:val="20"/>
    <w:qFormat/>
    <w:rsid w:val="001659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7C4"/>
  </w:style>
  <w:style w:type="paragraph" w:styleId="Footer">
    <w:name w:val="footer"/>
    <w:basedOn w:val="Normal"/>
    <w:link w:val="FooterChar"/>
    <w:uiPriority w:val="99"/>
    <w:unhideWhenUsed/>
    <w:rsid w:val="00A86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7C4"/>
  </w:style>
  <w:style w:type="paragraph" w:styleId="NormalWeb">
    <w:name w:val="Normal (Web)"/>
    <w:basedOn w:val="Normal"/>
    <w:uiPriority w:val="99"/>
    <w:semiHidden/>
    <w:unhideWhenUsed/>
    <w:rsid w:val="00165958"/>
    <w:pPr>
      <w:spacing w:before="100" w:beforeAutospacing="1" w:after="100" w:afterAutospacing="1" w:line="240" w:lineRule="auto"/>
      <w:ind w:firstLine="0"/>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65958"/>
    <w:rPr>
      <w:color w:val="0000FF"/>
      <w:u w:val="single"/>
    </w:rPr>
  </w:style>
  <w:style w:type="character" w:styleId="Emphasis">
    <w:name w:val="Emphasis"/>
    <w:basedOn w:val="DefaultParagraphFont"/>
    <w:uiPriority w:val="20"/>
    <w:qFormat/>
    <w:rsid w:val="00165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3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wbo.org/content/uploads/sites/3/2020/11/memo-g20-recommendations-sm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xeu.org/article/economic-policy-under-pandemic-european-perspective"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ubdocs.worldbank.org/en/424911600887428587/Infrastructure-financing-in-times-of-COVID-19-A-driver-of-recovery.pdf" TargetMode="External"/><Relationship Id="rId5" Type="http://schemas.openxmlformats.org/officeDocument/2006/relationships/footnotes" Target="footnotes.xml"/><Relationship Id="rId10" Type="http://schemas.openxmlformats.org/officeDocument/2006/relationships/hyperlink" Target="https://www.wsj.com/articles/insurance-freeze-snarls-u-s-supply-chains-11600772974" TargetMode="External"/><Relationship Id="rId4" Type="http://schemas.openxmlformats.org/officeDocument/2006/relationships/webSettings" Target="webSettings.xml"/><Relationship Id="rId9" Type="http://schemas.openxmlformats.org/officeDocument/2006/relationships/hyperlink" Target="https://www.oecd.org/coronavirus/policy-responses/trade-finance-in-the-covid-era-current-and-future-challenges-79daca9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7</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2021-06-23T00:08:00Z</dcterms:created>
  <dcterms:modified xsi:type="dcterms:W3CDTF">2021-06-23T03:38:00Z</dcterms:modified>
</cp:coreProperties>
</file>